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Theme="majorEastAsia" w:hAnsiTheme="majorEastAsia" w:eastAsiaTheme="majorEastAsia" w:cstheme="majorEastAsia"/>
          <w:i w:val="0"/>
          <w:caps w:val="0"/>
          <w:color w:val="333333"/>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Theme="majorEastAsia" w:hAnsiTheme="majorEastAsia" w:eastAsiaTheme="majorEastAsia" w:cstheme="majorEastAsia"/>
          <w:i w:val="0"/>
          <w:caps w:val="0"/>
          <w:color w:val="333333"/>
          <w:spacing w:val="0"/>
          <w:sz w:val="44"/>
          <w:szCs w:val="44"/>
        </w:rPr>
      </w:pPr>
      <w:r>
        <w:rPr>
          <w:rFonts w:hint="eastAsia" w:asciiTheme="majorEastAsia" w:hAnsiTheme="majorEastAsia" w:eastAsiaTheme="majorEastAsia" w:cstheme="majorEastAsia"/>
          <w:i w:val="0"/>
          <w:caps w:val="0"/>
          <w:color w:val="333333"/>
          <w:spacing w:val="0"/>
          <w:kern w:val="0"/>
          <w:sz w:val="44"/>
          <w:szCs w:val="44"/>
          <w:shd w:val="clear" w:fill="FFFFFF"/>
          <w:lang w:val="en-US" w:eastAsia="zh-CN" w:bidi="ar"/>
        </w:rPr>
        <w:t>关于提高全市困难残疾人生活补贴和重度残疾人护理补贴标准并建立动态调整机制的通知</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阜民发</w:t>
      </w:r>
      <w:r>
        <w:rPr>
          <w:rFonts w:hint="eastAsia" w:ascii="仿宋_GB2312" w:hAnsi="仿宋_GB2312" w:eastAsia="仿宋_GB2312" w:cs="仿宋_GB2312"/>
          <w:i w:val="0"/>
          <w:caps w:val="0"/>
          <w:color w:val="333333"/>
          <w:spacing w:val="0"/>
          <w:kern w:val="0"/>
          <w:sz w:val="32"/>
          <w:szCs w:val="32"/>
          <w:shd w:val="clear" w:fill="FFFFFF"/>
          <w:lang w:val="en-US" w:eastAsia="zh-CN" w:bidi="ar"/>
        </w:rPr>
        <w:t>〔2021〕</w:t>
      </w:r>
      <w:r>
        <w:rPr>
          <w:rFonts w:hint="eastAsia" w:ascii="仿宋_GB2312" w:hAnsi="仿宋_GB2312" w:eastAsia="仿宋_GB2312" w:cs="仿宋_GB2312"/>
          <w:i w:val="0"/>
          <w:caps w:val="0"/>
          <w:color w:val="333333"/>
          <w:spacing w:val="0"/>
          <w:kern w:val="0"/>
          <w:sz w:val="32"/>
          <w:szCs w:val="32"/>
          <w:shd w:val="clear" w:fill="FFFFFF"/>
          <w:lang w:val="en-US" w:eastAsia="zh-CN" w:bidi="ar"/>
        </w:rPr>
        <w:t>35号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color w:val="333333"/>
          <w:sz w:val="31"/>
          <w:szCs w:val="31"/>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各县区民政局、财政局、残疾人联合会：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为贯彻落实民政部、财政部、中国残联联合印发的《关于进一步完善困难残疾人生活补贴和重度残疾人护理补贴制度的意见》（民发〔2021〕70号）和省民政厅、省财政厅、省残联联合下发的《关于提高困难残疾人生活补贴和重度残疾人护理补贴标准并建立动态调整机制的通知》（辽民发〔2021〕36号）要求，切实解决全市残疾人特殊生活困难和长期照护困难,现就有关事项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color w:val="333333"/>
          <w:sz w:val="32"/>
          <w:szCs w:val="32"/>
        </w:rPr>
      </w:pPr>
      <w:r>
        <w:rPr>
          <w:rFonts w:ascii="黑体" w:hAnsi="宋体" w:eastAsia="黑体" w:cs="黑体"/>
          <w:i w:val="0"/>
          <w:caps w:val="0"/>
          <w:color w:val="333333"/>
          <w:spacing w:val="0"/>
          <w:kern w:val="0"/>
          <w:sz w:val="32"/>
          <w:szCs w:val="32"/>
          <w:shd w:val="clear" w:fill="FFFFFF"/>
          <w:lang w:val="en-US" w:eastAsia="zh-CN" w:bidi="ar"/>
        </w:rPr>
        <w:t>一、</w:t>
      </w:r>
      <w:r>
        <w:rPr>
          <w:rFonts w:hint="eastAsia" w:ascii="黑体" w:hAnsi="宋体" w:eastAsia="黑体" w:cs="黑体"/>
          <w:i w:val="0"/>
          <w:caps w:val="0"/>
          <w:color w:val="333333"/>
          <w:spacing w:val="0"/>
          <w:kern w:val="0"/>
          <w:sz w:val="32"/>
          <w:szCs w:val="32"/>
          <w:shd w:val="clear" w:fill="FFFFFF"/>
          <w:lang w:val="en-US" w:eastAsia="zh-CN" w:bidi="ar"/>
        </w:rPr>
        <w:t>补贴对象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both"/>
        <w:textAlignment w:val="auto"/>
        <w:rPr>
          <w:color w:val="333333"/>
          <w:sz w:val="32"/>
          <w:szCs w:val="32"/>
        </w:rPr>
      </w:pPr>
      <w:r>
        <w:rPr>
          <w:rFonts w:ascii="楷体_GB2312" w:hAnsi="FangSong" w:eastAsia="楷体_GB2312" w:cs="楷体_GB2312"/>
          <w:b/>
          <w:bCs/>
          <w:i w:val="0"/>
          <w:caps w:val="0"/>
          <w:color w:val="333333"/>
          <w:spacing w:val="0"/>
          <w:kern w:val="0"/>
          <w:sz w:val="32"/>
          <w:szCs w:val="32"/>
          <w:shd w:val="clear" w:fill="FFFFFF"/>
          <w:lang w:val="en-US" w:eastAsia="zh-CN" w:bidi="ar"/>
        </w:rPr>
        <w:t>（一）困难残疾人。</w:t>
      </w:r>
      <w:r>
        <w:rPr>
          <w:rFonts w:hint="eastAsia" w:ascii="仿宋_GB2312" w:hAnsi="FangSong" w:eastAsia="仿宋_GB2312" w:cs="仿宋_GB2312"/>
          <w:i w:val="0"/>
          <w:caps w:val="0"/>
          <w:color w:val="333333"/>
          <w:spacing w:val="0"/>
          <w:kern w:val="0"/>
          <w:sz w:val="32"/>
          <w:szCs w:val="32"/>
          <w:shd w:val="clear" w:fill="FFFFFF"/>
          <w:lang w:val="en-US" w:eastAsia="zh-CN" w:bidi="ar"/>
        </w:rPr>
        <w:t>困难残疾人生活补贴对象为阜新户籍低保家庭中的残疾人，低保边缘家庭中的一、二级残疾人。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both"/>
        <w:textAlignment w:val="auto"/>
        <w:rPr>
          <w:color w:val="333333"/>
          <w:sz w:val="32"/>
          <w:szCs w:val="32"/>
        </w:rPr>
      </w:pPr>
      <w:r>
        <w:rPr>
          <w:rFonts w:hint="eastAsia" w:ascii="楷体_GB2312" w:hAnsi="FangSong" w:eastAsia="楷体_GB2312" w:cs="楷体_GB2312"/>
          <w:b/>
          <w:bCs/>
          <w:i w:val="0"/>
          <w:caps w:val="0"/>
          <w:color w:val="333333"/>
          <w:spacing w:val="0"/>
          <w:kern w:val="0"/>
          <w:sz w:val="32"/>
          <w:szCs w:val="32"/>
          <w:shd w:val="clear" w:fill="FFFFFF"/>
          <w:lang w:val="en-US" w:eastAsia="zh-CN" w:bidi="ar"/>
        </w:rPr>
        <w:t>（二）重度残疾人。</w:t>
      </w:r>
      <w:r>
        <w:rPr>
          <w:rFonts w:hint="eastAsia" w:ascii="仿宋_GB2312" w:hAnsi="FangSong" w:eastAsia="仿宋_GB2312" w:cs="仿宋_GB2312"/>
          <w:i w:val="0"/>
          <w:caps w:val="0"/>
          <w:color w:val="333333"/>
          <w:spacing w:val="0"/>
          <w:kern w:val="0"/>
          <w:sz w:val="32"/>
          <w:szCs w:val="32"/>
          <w:shd w:val="clear" w:fill="FFFFFF"/>
          <w:lang w:val="en-US" w:eastAsia="zh-CN" w:bidi="ar"/>
        </w:rPr>
        <w:t>重度残疾人护理补贴对象为阜新户籍，残疾等级被评定为一级、二级且需要长期照护的重度残疾人。长期照护是指因残疾产生的特殊护理消费品和照护服务支出持续</w:t>
      </w:r>
      <w:r>
        <w:rPr>
          <w:rFonts w:hint="default" w:ascii="Times New Roman" w:hAnsi="Times New Roman" w:eastAsia="FangSong" w:cs="Times New Roman"/>
          <w:i w:val="0"/>
          <w:caps w:val="0"/>
          <w:color w:val="333333"/>
          <w:spacing w:val="0"/>
          <w:kern w:val="0"/>
          <w:sz w:val="32"/>
          <w:szCs w:val="32"/>
          <w:shd w:val="clear" w:fill="FFFFFF"/>
          <w:lang w:val="en-US" w:eastAsia="zh-CN" w:bidi="ar"/>
        </w:rPr>
        <w:t>6</w:t>
      </w:r>
      <w:r>
        <w:rPr>
          <w:rFonts w:hint="eastAsia" w:ascii="仿宋_GB2312" w:hAnsi="FangSong" w:eastAsia="仿宋_GB2312" w:cs="仿宋_GB2312"/>
          <w:i w:val="0"/>
          <w:caps w:val="0"/>
          <w:color w:val="333333"/>
          <w:spacing w:val="0"/>
          <w:kern w:val="0"/>
          <w:sz w:val="32"/>
          <w:szCs w:val="32"/>
          <w:shd w:val="clear" w:fill="FFFFFF"/>
          <w:lang w:val="en-US" w:eastAsia="zh-CN" w:bidi="ar"/>
        </w:rPr>
        <w:t>个月以上时间的照护服务。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color w:val="333333"/>
          <w:sz w:val="32"/>
          <w:szCs w:val="32"/>
        </w:rPr>
      </w:pPr>
      <w:r>
        <w:rPr>
          <w:rFonts w:hint="eastAsia" w:ascii="黑体" w:hAnsi="宋体" w:eastAsia="黑体" w:cs="黑体"/>
          <w:i w:val="0"/>
          <w:caps w:val="0"/>
          <w:color w:val="333333"/>
          <w:spacing w:val="0"/>
          <w:kern w:val="0"/>
          <w:sz w:val="32"/>
          <w:szCs w:val="32"/>
          <w:shd w:val="clear" w:fill="FFFFFF"/>
          <w:lang w:val="en-US" w:eastAsia="zh-CN" w:bidi="ar"/>
        </w:rPr>
        <w:t>二、补贴标准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城乡困难残疾人生活补贴起始标准为从每人每月不低于</w:t>
      </w:r>
      <w:r>
        <w:rPr>
          <w:rFonts w:hint="default" w:ascii="Times New Roman" w:hAnsi="Times New Roman" w:eastAsia="FangSong" w:cs="Times New Roman"/>
          <w:i w:val="0"/>
          <w:caps w:val="0"/>
          <w:color w:val="333333"/>
          <w:spacing w:val="0"/>
          <w:kern w:val="0"/>
          <w:sz w:val="32"/>
          <w:szCs w:val="32"/>
          <w:shd w:val="clear" w:fill="FFFFFF"/>
          <w:lang w:val="en-US" w:eastAsia="zh-CN" w:bidi="ar"/>
        </w:rPr>
        <w:t>70</w:t>
      </w:r>
      <w:r>
        <w:rPr>
          <w:rFonts w:hint="eastAsia" w:ascii="仿宋_GB2312" w:hAnsi="FangSong" w:eastAsia="仿宋_GB2312" w:cs="仿宋_GB2312"/>
          <w:i w:val="0"/>
          <w:caps w:val="0"/>
          <w:color w:val="333333"/>
          <w:spacing w:val="0"/>
          <w:kern w:val="0"/>
          <w:sz w:val="32"/>
          <w:szCs w:val="32"/>
          <w:shd w:val="clear" w:fill="FFFFFF"/>
          <w:lang w:val="en-US" w:eastAsia="zh-CN" w:bidi="ar"/>
        </w:rPr>
        <w:t>元提高到每人每月不低于</w:t>
      </w:r>
      <w:r>
        <w:rPr>
          <w:rFonts w:hint="default" w:ascii="Times New Roman" w:hAnsi="Times New Roman" w:eastAsia="FangSong" w:cs="Times New Roman"/>
          <w:i w:val="0"/>
          <w:caps w:val="0"/>
          <w:color w:val="333333"/>
          <w:spacing w:val="0"/>
          <w:kern w:val="0"/>
          <w:sz w:val="32"/>
          <w:szCs w:val="32"/>
          <w:shd w:val="clear" w:fill="FFFFFF"/>
          <w:lang w:val="en-US" w:eastAsia="zh-CN" w:bidi="ar"/>
        </w:rPr>
        <w:t>80</w:t>
      </w:r>
      <w:r>
        <w:rPr>
          <w:rFonts w:hint="eastAsia" w:ascii="仿宋_GB2312" w:hAnsi="FangSong" w:eastAsia="仿宋_GB2312" w:cs="仿宋_GB2312"/>
          <w:i w:val="0"/>
          <w:caps w:val="0"/>
          <w:color w:val="333333"/>
          <w:spacing w:val="0"/>
          <w:kern w:val="0"/>
          <w:sz w:val="32"/>
          <w:szCs w:val="32"/>
          <w:shd w:val="clear" w:fill="FFFFFF"/>
          <w:lang w:val="en-US" w:eastAsia="zh-CN" w:bidi="ar"/>
        </w:rPr>
        <w:t>元，重度残疾人护理补贴起始标准为每人每月不低于</w:t>
      </w:r>
      <w:r>
        <w:rPr>
          <w:rFonts w:hint="default" w:ascii="Times New Roman" w:hAnsi="Times New Roman" w:eastAsia="FangSong" w:cs="Times New Roman"/>
          <w:i w:val="0"/>
          <w:caps w:val="0"/>
          <w:color w:val="333333"/>
          <w:spacing w:val="0"/>
          <w:kern w:val="0"/>
          <w:sz w:val="32"/>
          <w:szCs w:val="32"/>
          <w:shd w:val="clear" w:fill="FFFFFF"/>
          <w:lang w:val="en-US" w:eastAsia="zh-CN" w:bidi="ar"/>
        </w:rPr>
        <w:t>55</w:t>
      </w:r>
      <w:r>
        <w:rPr>
          <w:rFonts w:hint="eastAsia" w:ascii="仿宋_GB2312" w:hAnsi="FangSong" w:eastAsia="仿宋_GB2312" w:cs="仿宋_GB2312"/>
          <w:i w:val="0"/>
          <w:caps w:val="0"/>
          <w:color w:val="333333"/>
          <w:spacing w:val="0"/>
          <w:kern w:val="0"/>
          <w:sz w:val="32"/>
          <w:szCs w:val="32"/>
          <w:shd w:val="clear" w:fill="FFFFFF"/>
          <w:lang w:val="en-US" w:eastAsia="zh-CN" w:bidi="ar"/>
        </w:rPr>
        <w:t>元提高到每人每月不低于</w:t>
      </w:r>
      <w:r>
        <w:rPr>
          <w:rFonts w:hint="default" w:ascii="Times New Roman" w:hAnsi="Times New Roman" w:eastAsia="FangSong" w:cs="Times New Roman"/>
          <w:i w:val="0"/>
          <w:caps w:val="0"/>
          <w:color w:val="333333"/>
          <w:spacing w:val="0"/>
          <w:kern w:val="0"/>
          <w:sz w:val="32"/>
          <w:szCs w:val="32"/>
          <w:shd w:val="clear" w:fill="FFFFFF"/>
          <w:lang w:val="en-US" w:eastAsia="zh-CN" w:bidi="ar"/>
        </w:rPr>
        <w:t>80</w:t>
      </w:r>
      <w:r>
        <w:rPr>
          <w:rFonts w:hint="eastAsia" w:ascii="仿宋_GB2312" w:hAnsi="FangSong" w:eastAsia="仿宋_GB2312" w:cs="仿宋_GB2312"/>
          <w:i w:val="0"/>
          <w:caps w:val="0"/>
          <w:color w:val="333333"/>
          <w:spacing w:val="0"/>
          <w:kern w:val="0"/>
          <w:sz w:val="32"/>
          <w:szCs w:val="32"/>
          <w:shd w:val="clear" w:fill="FFFFFF"/>
          <w:lang w:val="en-US" w:eastAsia="zh-CN" w:bidi="ar"/>
        </w:rPr>
        <w:t>元。两项补贴标准根据经济发展水平和残疾人生活及所需求、长期照护需求统筹确定，并适时调整。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color w:val="333333"/>
          <w:sz w:val="32"/>
          <w:szCs w:val="32"/>
        </w:rPr>
      </w:pPr>
      <w:r>
        <w:rPr>
          <w:rFonts w:hint="eastAsia" w:ascii="黑体" w:hAnsi="宋体" w:eastAsia="黑体" w:cs="黑体"/>
          <w:i w:val="0"/>
          <w:caps w:val="0"/>
          <w:color w:val="333333"/>
          <w:spacing w:val="0"/>
          <w:kern w:val="0"/>
          <w:sz w:val="32"/>
          <w:szCs w:val="32"/>
          <w:shd w:val="clear" w:fill="FFFFFF"/>
          <w:lang w:val="en-US" w:eastAsia="zh-CN" w:bidi="ar"/>
        </w:rPr>
        <w:t>三、资金来源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困难残疾人生活补贴和重度残疾人护理补贴所需资金，在扣除国家、省财政补贴部分后，由市、县（区）两级财政按</w:t>
      </w:r>
      <w:r>
        <w:rPr>
          <w:rFonts w:hint="default" w:ascii="Times New Roman" w:hAnsi="Times New Roman" w:eastAsia="FangSong" w:cs="Times New Roman"/>
          <w:i w:val="0"/>
          <w:caps w:val="0"/>
          <w:color w:val="333333"/>
          <w:spacing w:val="0"/>
          <w:kern w:val="0"/>
          <w:sz w:val="32"/>
          <w:szCs w:val="32"/>
          <w:shd w:val="clear" w:fill="FFFFFF"/>
          <w:lang w:val="en-US" w:eastAsia="zh-CN" w:bidi="ar"/>
        </w:rPr>
        <w:t>5:5</w:t>
      </w:r>
      <w:r>
        <w:rPr>
          <w:rFonts w:hint="eastAsia" w:ascii="仿宋_GB2312" w:hAnsi="FangSong" w:eastAsia="仿宋_GB2312" w:cs="仿宋_GB2312"/>
          <w:i w:val="0"/>
          <w:caps w:val="0"/>
          <w:color w:val="333333"/>
          <w:spacing w:val="0"/>
          <w:kern w:val="0"/>
          <w:sz w:val="32"/>
          <w:szCs w:val="32"/>
          <w:shd w:val="clear" w:fill="FFFFFF"/>
          <w:lang w:val="en-US" w:eastAsia="zh-CN" w:bidi="ar"/>
        </w:rPr>
        <w:t>比例承担。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color w:val="333333"/>
          <w:sz w:val="32"/>
          <w:szCs w:val="32"/>
        </w:rPr>
      </w:pPr>
      <w:r>
        <w:rPr>
          <w:rFonts w:hint="eastAsia" w:ascii="黑体" w:hAnsi="宋体" w:eastAsia="黑体" w:cs="黑体"/>
          <w:i w:val="0"/>
          <w:caps w:val="0"/>
          <w:color w:val="333333"/>
          <w:spacing w:val="0"/>
          <w:kern w:val="0"/>
          <w:sz w:val="32"/>
          <w:szCs w:val="32"/>
          <w:shd w:val="clear" w:fill="FFFFFF"/>
          <w:lang w:val="en-US" w:eastAsia="zh-CN" w:bidi="ar"/>
        </w:rPr>
        <w:t>四、发放形式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残疾人两项补贴由各县区民政部门负责，采取社会化形式按月发放，通过金融机构转账存入残疾人账户。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color w:val="333333"/>
          <w:sz w:val="32"/>
          <w:szCs w:val="32"/>
        </w:rPr>
      </w:pPr>
      <w:r>
        <w:rPr>
          <w:rFonts w:hint="eastAsia" w:ascii="黑体" w:hAnsi="宋体" w:eastAsia="黑体" w:cs="黑体"/>
          <w:i w:val="0"/>
          <w:caps w:val="0"/>
          <w:color w:val="333333"/>
          <w:spacing w:val="0"/>
          <w:kern w:val="0"/>
          <w:sz w:val="32"/>
          <w:szCs w:val="32"/>
          <w:shd w:val="clear" w:fill="FFFFFF"/>
          <w:lang w:val="en-US" w:eastAsia="zh-CN" w:bidi="ar"/>
        </w:rPr>
        <w:t>五、申请、审定、复核、退出程序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both"/>
        <w:textAlignment w:val="auto"/>
        <w:rPr>
          <w:color w:val="333333"/>
          <w:sz w:val="32"/>
          <w:szCs w:val="32"/>
        </w:rPr>
      </w:pPr>
      <w:r>
        <w:rPr>
          <w:rFonts w:hint="eastAsia" w:ascii="楷体_GB2312" w:hAnsi="FangSong" w:eastAsia="楷体_GB2312" w:cs="楷体_GB2312"/>
          <w:b/>
          <w:bCs/>
          <w:i w:val="0"/>
          <w:caps w:val="0"/>
          <w:color w:val="333333"/>
          <w:spacing w:val="0"/>
          <w:kern w:val="0"/>
          <w:sz w:val="32"/>
          <w:szCs w:val="32"/>
          <w:shd w:val="clear" w:fill="FFFFFF"/>
          <w:lang w:val="en-US" w:eastAsia="zh-CN" w:bidi="ar"/>
        </w:rPr>
        <w:t>（一）申请。</w:t>
      </w:r>
      <w:r>
        <w:rPr>
          <w:rFonts w:hint="eastAsia" w:ascii="仿宋_GB2312" w:hAnsi="FangSong" w:eastAsia="仿宋_GB2312" w:cs="仿宋_GB2312"/>
          <w:i w:val="0"/>
          <w:caps w:val="0"/>
          <w:color w:val="333333"/>
          <w:spacing w:val="0"/>
          <w:kern w:val="0"/>
          <w:sz w:val="32"/>
          <w:szCs w:val="32"/>
          <w:shd w:val="clear" w:fill="FFFFFF"/>
          <w:lang w:val="en-US" w:eastAsia="zh-CN" w:bidi="ar"/>
        </w:rPr>
        <w:t>自愿申请与主动服务相结合。残疾人两项补贴要在残疾人自愿申请的前提下进行。在残疾人新纳入低保、低保边缘家庭范围后，由乡镇（街道）主动服务，一次性告知残疾人两补政策并征求申请人同意后可直接进行残疾人两项补贴资格初审；其他符合享受困难残疾人、重度残疾人护理补贴的，仍按原程序办理；残联组织对新领取残疾证的残疾人，应一次性告知残疾人两补政策。残疾人知晓政策但并未提出补贴申请的，视为自愿放弃，再次提出申请的，乡镇（街道）应当及时受理。申请残疾人两项补贴应持有第二代中华人民共和国残疾人证，并提交相关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both"/>
        <w:textAlignment w:val="auto"/>
        <w:rPr>
          <w:color w:val="333333"/>
          <w:sz w:val="32"/>
          <w:szCs w:val="32"/>
        </w:rPr>
      </w:pPr>
      <w:r>
        <w:rPr>
          <w:rFonts w:hint="eastAsia" w:ascii="楷体_GB2312" w:hAnsi="FangSong" w:eastAsia="楷体_GB2312" w:cs="楷体_GB2312"/>
          <w:b/>
          <w:bCs/>
          <w:i w:val="0"/>
          <w:caps w:val="0"/>
          <w:color w:val="333333"/>
          <w:spacing w:val="0"/>
          <w:kern w:val="0"/>
          <w:sz w:val="32"/>
          <w:szCs w:val="32"/>
          <w:shd w:val="clear" w:fill="FFFFFF"/>
          <w:lang w:val="en-US" w:eastAsia="zh-CN" w:bidi="ar"/>
        </w:rPr>
        <w:t>（二）审核。</w:t>
      </w:r>
      <w:r>
        <w:rPr>
          <w:rFonts w:hint="eastAsia" w:ascii="仿宋_GB2312" w:hAnsi="FangSong" w:eastAsia="仿宋_GB2312" w:cs="仿宋_GB2312"/>
          <w:i w:val="0"/>
          <w:caps w:val="0"/>
          <w:color w:val="333333"/>
          <w:spacing w:val="0"/>
          <w:kern w:val="0"/>
          <w:sz w:val="32"/>
          <w:szCs w:val="32"/>
          <w:shd w:val="clear" w:fill="FFFFFF"/>
          <w:lang w:val="en-US" w:eastAsia="zh-CN" w:bidi="ar"/>
        </w:rPr>
        <w:t>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县级残联负责残疾人证动态管理和残疾人口数据库的数据维护，及时更新推送残疾人证信息，并协助做好补贴监管工作。县级民政部门和县级残联要建立信息数据共享机制，每季度至少定期比对一次补贴申请和残疾人证信息，加强队数据的分析研判，保证数据与实际情况一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both"/>
        <w:textAlignment w:val="auto"/>
        <w:rPr>
          <w:color w:val="333333"/>
          <w:sz w:val="32"/>
          <w:szCs w:val="32"/>
        </w:rPr>
      </w:pPr>
      <w:r>
        <w:rPr>
          <w:rFonts w:hint="eastAsia" w:ascii="楷体_GB2312" w:hAnsi="FangSong" w:eastAsia="楷体_GB2312" w:cs="楷体_GB2312"/>
          <w:b/>
          <w:bCs/>
          <w:i w:val="0"/>
          <w:caps w:val="0"/>
          <w:color w:val="333333"/>
          <w:spacing w:val="0"/>
          <w:kern w:val="0"/>
          <w:sz w:val="32"/>
          <w:szCs w:val="32"/>
          <w:shd w:val="clear" w:fill="FFFFFF"/>
          <w:lang w:val="en-US" w:eastAsia="zh-CN" w:bidi="ar"/>
        </w:rPr>
        <w:t>（三）复核。</w:t>
      </w:r>
      <w:r>
        <w:rPr>
          <w:rFonts w:hint="eastAsia" w:ascii="仿宋_GB2312" w:hAnsi="FangSong" w:eastAsia="仿宋_GB2312" w:cs="仿宋_GB2312"/>
          <w:i w:val="0"/>
          <w:caps w:val="0"/>
          <w:color w:val="333333"/>
          <w:spacing w:val="0"/>
          <w:kern w:val="0"/>
          <w:sz w:val="32"/>
          <w:szCs w:val="32"/>
          <w:shd w:val="clear" w:fill="FFFFFF"/>
          <w:lang w:val="en-US" w:eastAsia="zh-CN" w:bidi="ar"/>
        </w:rPr>
        <w:t>县级抽查、乡镇（街道）实施为原则进行定期复核。可采取数据比对、入户走访、调研座谈等方式。乡镇（街道）应当依托村（社区）并结合残疾人、残疾人的法定监护人或法定赡养、抚养、抚养义务人等主动申报的方式，建立残疾人死亡、被宣告死亡、失踪满</w:t>
      </w:r>
      <w:r>
        <w:rPr>
          <w:rFonts w:hint="default" w:ascii="Times New Roman" w:hAnsi="Times New Roman" w:eastAsia="FangSong" w:cs="Times New Roman"/>
          <w:i w:val="0"/>
          <w:caps w:val="0"/>
          <w:color w:val="333333"/>
          <w:spacing w:val="0"/>
          <w:kern w:val="0"/>
          <w:sz w:val="32"/>
          <w:szCs w:val="32"/>
          <w:shd w:val="clear" w:fill="FFFFFF"/>
          <w:lang w:val="en-US" w:eastAsia="zh-CN" w:bidi="ar"/>
        </w:rPr>
        <w:t>6</w:t>
      </w:r>
      <w:r>
        <w:rPr>
          <w:rFonts w:hint="eastAsia" w:ascii="仿宋_GB2312" w:hAnsi="FangSong" w:eastAsia="仿宋_GB2312" w:cs="仿宋_GB2312"/>
          <w:i w:val="0"/>
          <w:caps w:val="0"/>
          <w:color w:val="333333"/>
          <w:spacing w:val="0"/>
          <w:kern w:val="0"/>
          <w:sz w:val="32"/>
          <w:szCs w:val="32"/>
          <w:shd w:val="clear" w:fill="FFFFFF"/>
          <w:lang w:val="en-US" w:eastAsia="zh-CN" w:bidi="ar"/>
        </w:rPr>
        <w:t>个月、户籍迁出所在区（县）、残疾人证失效等情况变化的复核制度。县级民政部门会同县级残联可以依据定期复核的情况，做出相关残疾人是否继续享受补贴的决定。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因残疾类别或登记变更而进行残疾人证重新换发、核发期间，按照原标准发放补贴。残疾人证到期前，残联组织应当提前</w:t>
      </w:r>
      <w:r>
        <w:rPr>
          <w:rFonts w:hint="default" w:ascii="Times New Roman" w:hAnsi="Times New Roman" w:eastAsia="FangSong" w:cs="Times New Roman"/>
          <w:i w:val="0"/>
          <w:caps w:val="0"/>
          <w:color w:val="333333"/>
          <w:spacing w:val="0"/>
          <w:kern w:val="0"/>
          <w:sz w:val="32"/>
          <w:szCs w:val="32"/>
          <w:shd w:val="clear" w:fill="FFFFFF"/>
          <w:lang w:val="en-US" w:eastAsia="zh-CN" w:bidi="ar"/>
        </w:rPr>
        <w:t>6</w:t>
      </w:r>
      <w:r>
        <w:rPr>
          <w:rFonts w:hint="eastAsia" w:ascii="仿宋_GB2312" w:hAnsi="FangSong" w:eastAsia="仿宋_GB2312" w:cs="仿宋_GB2312"/>
          <w:i w:val="0"/>
          <w:caps w:val="0"/>
          <w:color w:val="333333"/>
          <w:spacing w:val="0"/>
          <w:kern w:val="0"/>
          <w:sz w:val="32"/>
          <w:szCs w:val="32"/>
          <w:shd w:val="clear" w:fill="FFFFFF"/>
          <w:lang w:val="en-US" w:eastAsia="zh-CN" w:bidi="ar"/>
        </w:rPr>
        <w:t>个月提醒残疾人重新换领残疾人证，以免影响申请补贴。残疾人证有效期满后，应于次月停发补贴；重新办理残疾人证并提出补贴申请的，应于新残疾人证发证当月计发补贴，同时可视情况按照新发残疾人证登记的类别和登记对应的补贴标准补发最多不超过</w:t>
      </w:r>
      <w:r>
        <w:rPr>
          <w:rFonts w:hint="default" w:ascii="Times New Roman" w:hAnsi="Times New Roman" w:eastAsia="FangSong" w:cs="Times New Roman"/>
          <w:i w:val="0"/>
          <w:caps w:val="0"/>
          <w:color w:val="333333"/>
          <w:spacing w:val="0"/>
          <w:kern w:val="0"/>
          <w:sz w:val="32"/>
          <w:szCs w:val="32"/>
          <w:shd w:val="clear" w:fill="FFFFFF"/>
          <w:lang w:val="en-US" w:eastAsia="zh-CN" w:bidi="ar"/>
        </w:rPr>
        <w:t>3</w:t>
      </w:r>
      <w:r>
        <w:rPr>
          <w:rFonts w:hint="eastAsia" w:ascii="仿宋_GB2312" w:hAnsi="FangSong" w:eastAsia="仿宋_GB2312" w:cs="仿宋_GB2312"/>
          <w:i w:val="0"/>
          <w:caps w:val="0"/>
          <w:color w:val="333333"/>
          <w:spacing w:val="0"/>
          <w:kern w:val="0"/>
          <w:sz w:val="32"/>
          <w:szCs w:val="32"/>
          <w:shd w:val="clear" w:fill="FFFFFF"/>
          <w:lang w:val="en-US" w:eastAsia="zh-CN" w:bidi="ar"/>
        </w:rPr>
        <w:t>个月的补贴。突发公共卫生事件、自然灾害等不可抗力导致无法及时换证的，可设立一定的过渡期，过渡期内按原标准发放补贴。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both"/>
        <w:textAlignment w:val="auto"/>
        <w:rPr>
          <w:color w:val="333333"/>
          <w:sz w:val="32"/>
          <w:szCs w:val="32"/>
        </w:rPr>
      </w:pPr>
      <w:r>
        <w:rPr>
          <w:rFonts w:hint="eastAsia" w:ascii="楷体_GB2312" w:hAnsi="FangSong" w:eastAsia="楷体_GB2312" w:cs="楷体_GB2312"/>
          <w:b/>
          <w:bCs/>
          <w:i w:val="0"/>
          <w:caps w:val="0"/>
          <w:color w:val="333333"/>
          <w:spacing w:val="0"/>
          <w:kern w:val="0"/>
          <w:sz w:val="32"/>
          <w:szCs w:val="32"/>
          <w:shd w:val="clear" w:fill="FFFFFF"/>
          <w:lang w:val="en-US" w:eastAsia="zh-CN" w:bidi="ar"/>
        </w:rPr>
        <w:t>（四）退出。</w:t>
      </w:r>
      <w:r>
        <w:rPr>
          <w:rFonts w:hint="eastAsia" w:ascii="仿宋_GB2312" w:hAnsi="FangSong" w:eastAsia="仿宋_GB2312" w:cs="仿宋_GB2312"/>
          <w:i w:val="0"/>
          <w:caps w:val="0"/>
          <w:color w:val="333333"/>
          <w:spacing w:val="0"/>
          <w:kern w:val="0"/>
          <w:sz w:val="32"/>
          <w:szCs w:val="32"/>
          <w:shd w:val="clear" w:fill="FFFFFF"/>
          <w:lang w:val="en-US" w:eastAsia="zh-CN" w:bidi="ar"/>
        </w:rPr>
        <w:t>残疾人退出低保、低保边缘家庭范围，或者残疾人死亡、户籍迁出、残疾人证过期、残疾人证冻结、残疾人证注销等不再符合补贴条件的，应当于次月停止发放补贴。对享受补贴期间被人民法院判处有期徒刑以上刑罚，且需要在监狱服刑的残疾人，自判决书生效后次月起停发补贴，服刑期满后符合条件的可重新按照程序申请补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color w:val="333333"/>
          <w:sz w:val="32"/>
          <w:szCs w:val="32"/>
        </w:rPr>
      </w:pPr>
      <w:r>
        <w:rPr>
          <w:rFonts w:hint="eastAsia" w:ascii="黑体" w:hAnsi="宋体" w:eastAsia="黑体" w:cs="黑体"/>
          <w:i w:val="0"/>
          <w:caps w:val="0"/>
          <w:color w:val="333333"/>
          <w:spacing w:val="0"/>
          <w:kern w:val="0"/>
          <w:sz w:val="32"/>
          <w:szCs w:val="32"/>
          <w:shd w:val="clear" w:fill="FFFFFF"/>
          <w:lang w:val="en-US" w:eastAsia="zh-CN" w:bidi="ar"/>
        </w:rPr>
        <w:t>六、政策衔接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符合条件的残疾人可同时申领困难残疾人生活补贴和重度残疾人护理补贴。既符合残疾人两项补贴条件，又符合老年、因公致残、离休等福利性生活补贴（津贴）、护理补贴（津贴）条件的残疾人，可择高申领其中一类生活补贴（津贴）、护理补贴（津贴）。享受孤儿基本生活保障政策的残疾儿童不享受困难残疾人生活补贴，可享受重度残疾人护理补贴。残疾人两项补贴不计入城乡最低生活保障家庭的收入。领取工伤保险生活护理费、纳入特困人员供养保障的残疾人不享受残疾人两项补贴。到户籍地以外接受学历教育的残疾学生，应视为原户籍家庭成员，原则上向户籍地申请补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color w:val="333333"/>
          <w:sz w:val="32"/>
          <w:szCs w:val="32"/>
        </w:rPr>
      </w:pPr>
      <w:r>
        <w:rPr>
          <w:rFonts w:hint="eastAsia" w:ascii="黑体" w:hAnsi="宋体" w:eastAsia="黑体" w:cs="黑体"/>
          <w:i w:val="0"/>
          <w:caps w:val="0"/>
          <w:color w:val="333333"/>
          <w:spacing w:val="0"/>
          <w:kern w:val="0"/>
          <w:sz w:val="32"/>
          <w:szCs w:val="32"/>
          <w:shd w:val="clear" w:fill="FFFFFF"/>
          <w:lang w:val="en-US" w:eastAsia="zh-CN" w:bidi="ar"/>
        </w:rPr>
        <w:t>七、保障措施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both"/>
        <w:textAlignment w:val="auto"/>
        <w:rPr>
          <w:color w:val="333333"/>
          <w:sz w:val="32"/>
          <w:szCs w:val="32"/>
        </w:rPr>
      </w:pPr>
      <w:r>
        <w:rPr>
          <w:rFonts w:hint="eastAsia" w:ascii="楷体_GB2312" w:hAnsi="FangSong" w:eastAsia="楷体_GB2312" w:cs="楷体_GB2312"/>
          <w:b/>
          <w:bCs/>
          <w:i w:val="0"/>
          <w:caps w:val="0"/>
          <w:color w:val="333333"/>
          <w:spacing w:val="0"/>
          <w:kern w:val="0"/>
          <w:sz w:val="32"/>
          <w:szCs w:val="32"/>
          <w:shd w:val="clear" w:fill="FFFFFF"/>
          <w:lang w:val="en-US" w:eastAsia="zh-CN" w:bidi="ar"/>
        </w:rPr>
        <w:t>（一）加强组织领导。</w:t>
      </w:r>
      <w:r>
        <w:rPr>
          <w:rFonts w:hint="eastAsia" w:ascii="仿宋_GB2312" w:hAnsi="FangSong" w:eastAsia="仿宋_GB2312" w:cs="仿宋_GB2312"/>
          <w:i w:val="0"/>
          <w:caps w:val="0"/>
          <w:color w:val="333333"/>
          <w:spacing w:val="0"/>
          <w:kern w:val="0"/>
          <w:sz w:val="32"/>
          <w:szCs w:val="32"/>
          <w:shd w:val="clear" w:fill="FFFFFF"/>
          <w:lang w:val="en-US" w:eastAsia="zh-CN" w:bidi="ar"/>
        </w:rPr>
        <w:t>各县区、各部门要充分认识全面残疾人两项补贴制度的重要意义，将其作为保障和改善民生的重要任务，完善政府领导、民政牵头、残联配合、部门协作、社会参与的工作机制。民政部门要履行牵头统筹职责，做好补贴资格审定、补贴发放监管、政策衔接等工作。财政部门要及时足额安排补贴资金，工作经费根据补贴对象属地由同级财政予以保障，确保残疾人两项补贴制度顺利实施。残联组织要及时掌握残疾人需求，加强残疾人证核发和管理工作，定期与民政、街道（社区）共享残疾人证办理及变更等情况，做好补贴相关审核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both"/>
        <w:textAlignment w:val="auto"/>
        <w:rPr>
          <w:color w:val="333333"/>
          <w:sz w:val="32"/>
          <w:szCs w:val="32"/>
        </w:rPr>
      </w:pPr>
      <w:r>
        <w:rPr>
          <w:rFonts w:hint="eastAsia" w:ascii="楷体_GB2312" w:hAnsi="FangSong" w:eastAsia="楷体_GB2312" w:cs="楷体_GB2312"/>
          <w:b/>
          <w:bCs/>
          <w:i w:val="0"/>
          <w:caps w:val="0"/>
          <w:color w:val="333333"/>
          <w:spacing w:val="0"/>
          <w:kern w:val="0"/>
          <w:sz w:val="32"/>
          <w:szCs w:val="32"/>
          <w:shd w:val="clear" w:fill="FFFFFF"/>
          <w:lang w:val="en-US" w:eastAsia="zh-CN" w:bidi="ar"/>
        </w:rPr>
        <w:t>（二）加强制度落实。</w:t>
      </w:r>
      <w:r>
        <w:rPr>
          <w:rFonts w:hint="eastAsia" w:ascii="仿宋_GB2312" w:hAnsi="FangSong" w:eastAsia="仿宋_GB2312" w:cs="仿宋_GB2312"/>
          <w:i w:val="0"/>
          <w:caps w:val="0"/>
          <w:color w:val="333333"/>
          <w:spacing w:val="0"/>
          <w:kern w:val="0"/>
          <w:sz w:val="32"/>
          <w:szCs w:val="32"/>
          <w:shd w:val="clear" w:fill="FFFFFF"/>
          <w:lang w:val="en-US" w:eastAsia="zh-CN" w:bidi="ar"/>
        </w:rPr>
        <w:t>各县区已经实施的残疾人两项补贴制度补贴对象范围小于本意见要求的，要严格按本意见执行。补贴资金应按规定及时足额发放到位，不得随意截留、挪用。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2"/>
        <w:jc w:val="both"/>
        <w:textAlignment w:val="auto"/>
        <w:rPr>
          <w:color w:val="333333"/>
          <w:sz w:val="32"/>
          <w:szCs w:val="32"/>
        </w:rPr>
      </w:pPr>
      <w:bookmarkStart w:id="0" w:name="_GoBack"/>
      <w:r>
        <w:rPr>
          <w:rFonts w:hint="eastAsia" w:ascii="楷体_GB2312" w:hAnsi="FangSong" w:eastAsia="楷体_GB2312" w:cs="楷体_GB2312"/>
          <w:b/>
          <w:bCs/>
          <w:i w:val="0"/>
          <w:caps w:val="0"/>
          <w:color w:val="333333"/>
          <w:spacing w:val="0"/>
          <w:kern w:val="0"/>
          <w:sz w:val="32"/>
          <w:szCs w:val="32"/>
          <w:shd w:val="clear" w:fill="FFFFFF"/>
          <w:lang w:val="en-US" w:eastAsia="zh-CN" w:bidi="ar"/>
        </w:rPr>
        <w:t>（三）加强监督管理。</w:t>
      </w:r>
      <w:bookmarkEnd w:id="0"/>
      <w:r>
        <w:rPr>
          <w:rFonts w:hint="eastAsia" w:ascii="仿宋_GB2312" w:hAnsi="FangSong" w:eastAsia="仿宋_GB2312" w:cs="仿宋_GB2312"/>
          <w:i w:val="0"/>
          <w:caps w:val="0"/>
          <w:color w:val="333333"/>
          <w:spacing w:val="0"/>
          <w:kern w:val="0"/>
          <w:sz w:val="32"/>
          <w:szCs w:val="32"/>
          <w:shd w:val="clear" w:fill="FFFFFF"/>
          <w:lang w:val="en-US" w:eastAsia="zh-CN" w:bidi="ar"/>
        </w:rPr>
        <w:t>各县区要将残疾人两项补贴工作纳入年度考核内容。做好补贴信息公式，接受社会监督。各县区要严格补贴资格认定、规范补贴审核发放，杜绝弄虚作假、违规办理和发放补贴等情况发生。残联组织要严把残疾人证评定发放关，杜绝违规办理残疾人证、泄露残疾人个人信息等行为。加强补贴资金发放和使用的监督管理，坚决防止截留、挪用、骗取补贴资金等行为。对申请人采取虚报、隐瞒、伪造等手段骗取残疾人两项补贴资金的，原批准机关应当依法依规停止补发补贴，并加大对非法获取补贴资金的追回力度，视情节将其违法违规行为线索移送有关部门依法依规查处。探索建立容错机制，对秉持公心、履职尽责但因客观原因出现失误偏差且能够及时纠正的经办人员免于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本通知自</w:t>
      </w:r>
      <w:r>
        <w:rPr>
          <w:rFonts w:hint="default" w:ascii="Times New Roman" w:hAnsi="Times New Roman" w:eastAsia="FangSong" w:cs="Times New Roman"/>
          <w:i w:val="0"/>
          <w:caps w:val="0"/>
          <w:color w:val="333333"/>
          <w:spacing w:val="0"/>
          <w:kern w:val="0"/>
          <w:sz w:val="32"/>
          <w:szCs w:val="32"/>
          <w:shd w:val="clear" w:fill="FFFFFF"/>
          <w:lang w:val="en-US" w:eastAsia="zh-CN" w:bidi="ar"/>
        </w:rPr>
        <w:t>2022</w:t>
      </w:r>
      <w:r>
        <w:rPr>
          <w:rFonts w:hint="eastAsia" w:ascii="仿宋_GB2312" w:hAnsi="FangSong" w:eastAsia="仿宋_GB2312" w:cs="仿宋_GB2312"/>
          <w:i w:val="0"/>
          <w:caps w:val="0"/>
          <w:color w:val="333333"/>
          <w:spacing w:val="0"/>
          <w:kern w:val="0"/>
          <w:sz w:val="32"/>
          <w:szCs w:val="32"/>
          <w:shd w:val="clear" w:fill="FFFFFF"/>
          <w:lang w:val="en-US" w:eastAsia="zh-CN" w:bidi="ar"/>
        </w:rPr>
        <w:t>年</w:t>
      </w:r>
      <w:r>
        <w:rPr>
          <w:rFonts w:hint="default" w:ascii="Times New Roman" w:hAnsi="Times New Roman" w:eastAsia="FangSong" w:cs="Times New Roman"/>
          <w:i w:val="0"/>
          <w:caps w:val="0"/>
          <w:color w:val="333333"/>
          <w:spacing w:val="0"/>
          <w:kern w:val="0"/>
          <w:sz w:val="32"/>
          <w:szCs w:val="32"/>
          <w:shd w:val="clear" w:fill="FFFFFF"/>
          <w:lang w:val="en-US" w:eastAsia="zh-CN" w:bidi="ar"/>
        </w:rPr>
        <w:t>1</w:t>
      </w:r>
      <w:r>
        <w:rPr>
          <w:rFonts w:hint="eastAsia" w:ascii="仿宋_GB2312" w:hAnsi="FangSong" w:eastAsia="仿宋_GB2312" w:cs="仿宋_GB2312"/>
          <w:i w:val="0"/>
          <w:caps w:val="0"/>
          <w:color w:val="333333"/>
          <w:spacing w:val="0"/>
          <w:kern w:val="0"/>
          <w:sz w:val="32"/>
          <w:szCs w:val="32"/>
          <w:shd w:val="clear" w:fill="FFFFFF"/>
          <w:lang w:val="en-US" w:eastAsia="zh-CN" w:bidi="ar"/>
        </w:rPr>
        <w:t>月</w:t>
      </w:r>
      <w:r>
        <w:rPr>
          <w:rFonts w:hint="default" w:ascii="Times New Roman" w:hAnsi="Times New Roman" w:eastAsia="FangSong" w:cs="Times New Roman"/>
          <w:i w:val="0"/>
          <w:caps w:val="0"/>
          <w:color w:val="333333"/>
          <w:spacing w:val="0"/>
          <w:kern w:val="0"/>
          <w:sz w:val="32"/>
          <w:szCs w:val="32"/>
          <w:shd w:val="clear" w:fill="FFFFFF"/>
          <w:lang w:val="en-US" w:eastAsia="zh-CN" w:bidi="ar"/>
        </w:rPr>
        <w:t>1</w:t>
      </w:r>
      <w:r>
        <w:rPr>
          <w:rFonts w:hint="eastAsia" w:ascii="仿宋_GB2312" w:hAnsi="FangSong" w:eastAsia="仿宋_GB2312" w:cs="仿宋_GB2312"/>
          <w:i w:val="0"/>
          <w:caps w:val="0"/>
          <w:color w:val="333333"/>
          <w:spacing w:val="0"/>
          <w:kern w:val="0"/>
          <w:sz w:val="32"/>
          <w:szCs w:val="32"/>
          <w:shd w:val="clear" w:fill="FFFFFF"/>
          <w:lang w:val="en-US" w:eastAsia="zh-CN" w:bidi="ar"/>
        </w:rPr>
        <w:t>日起执行。</w:t>
      </w: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15"/>
        <w:jc w:val="left"/>
        <w:textAlignment w:val="auto"/>
        <w:rPr>
          <w:color w:val="333333"/>
          <w:sz w:val="32"/>
          <w:szCs w:val="32"/>
        </w:rPr>
      </w:pPr>
      <w:r>
        <w:rPr>
          <w:rFonts w:hint="default" w:ascii="Times New Roman" w:hAnsi="Times New Roman" w:eastAsia="FangSong" w:cs="Times New Roman"/>
          <w:i w:val="0"/>
          <w:caps w:val="0"/>
          <w:color w:val="333333"/>
          <w:spacing w:val="0"/>
          <w:kern w:val="0"/>
          <w:sz w:val="32"/>
          <w:szCs w:val="32"/>
          <w:shd w:val="clear" w:fill="FFFFFF"/>
          <w:lang w:val="en-US" w:eastAsia="zh-CN" w:bidi="ar"/>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960"/>
        <w:jc w:val="righ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阜新市民政局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960"/>
        <w:jc w:val="righ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阜新市财政局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righ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阜新市残疾人联合会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right"/>
        <w:textAlignment w:val="auto"/>
        <w:rPr>
          <w:color w:val="333333"/>
          <w:sz w:val="32"/>
          <w:szCs w:val="32"/>
        </w:rPr>
      </w:pPr>
      <w:r>
        <w:rPr>
          <w:rFonts w:hint="eastAsia" w:ascii="宋体" w:hAnsi="宋体" w:eastAsia="宋体" w:cs="宋体"/>
          <w:i w:val="0"/>
          <w:caps w:val="0"/>
          <w:color w:val="333333"/>
          <w:spacing w:val="0"/>
          <w:kern w:val="0"/>
          <w:sz w:val="32"/>
          <w:szCs w:val="32"/>
          <w:shd w:val="clear" w:fill="FFFFFF"/>
          <w:lang w:val="en-US" w:eastAsia="zh-CN" w:bidi="ar"/>
        </w:rPr>
        <w:t> </w:t>
      </w:r>
      <w:r>
        <w:rPr>
          <w:rFonts w:hint="default" w:ascii="Times New Roman" w:hAnsi="Times New Roman" w:eastAsia="FangSong" w:cs="Times New Roman"/>
          <w:i w:val="0"/>
          <w:caps w:val="0"/>
          <w:color w:val="333333"/>
          <w:spacing w:val="0"/>
          <w:kern w:val="0"/>
          <w:sz w:val="32"/>
          <w:szCs w:val="32"/>
          <w:shd w:val="clear" w:fill="FFFFFF"/>
          <w:lang w:val="en-US" w:eastAsia="zh-CN" w:bidi="ar"/>
        </w:rPr>
        <w:t>2021</w:t>
      </w:r>
      <w:r>
        <w:rPr>
          <w:rFonts w:hint="eastAsia" w:ascii="仿宋_GB2312" w:hAnsi="FangSong" w:eastAsia="仿宋_GB2312" w:cs="仿宋_GB2312"/>
          <w:i w:val="0"/>
          <w:caps w:val="0"/>
          <w:color w:val="333333"/>
          <w:spacing w:val="0"/>
          <w:kern w:val="0"/>
          <w:sz w:val="32"/>
          <w:szCs w:val="32"/>
          <w:shd w:val="clear" w:fill="FFFFFF"/>
          <w:lang w:val="en-US" w:eastAsia="zh-CN" w:bidi="ar"/>
        </w:rPr>
        <w:t>年</w:t>
      </w:r>
      <w:r>
        <w:rPr>
          <w:rFonts w:hint="default" w:ascii="Times New Roman" w:hAnsi="Times New Roman" w:eastAsia="FangSong" w:cs="Times New Roman"/>
          <w:i w:val="0"/>
          <w:caps w:val="0"/>
          <w:color w:val="333333"/>
          <w:spacing w:val="0"/>
          <w:kern w:val="0"/>
          <w:sz w:val="32"/>
          <w:szCs w:val="32"/>
          <w:shd w:val="clear" w:fill="FFFFFF"/>
          <w:lang w:val="en-US" w:eastAsia="zh-CN" w:bidi="ar"/>
        </w:rPr>
        <w:t>11</w:t>
      </w:r>
      <w:r>
        <w:rPr>
          <w:rFonts w:hint="eastAsia" w:ascii="仿宋_GB2312" w:hAnsi="FangSong" w:eastAsia="仿宋_GB2312" w:cs="仿宋_GB2312"/>
          <w:i w:val="0"/>
          <w:caps w:val="0"/>
          <w:color w:val="333333"/>
          <w:spacing w:val="0"/>
          <w:kern w:val="0"/>
          <w:sz w:val="32"/>
          <w:szCs w:val="32"/>
          <w:shd w:val="clear" w:fill="FFFFFF"/>
          <w:lang w:val="en-US" w:eastAsia="zh-CN" w:bidi="ar"/>
        </w:rPr>
        <w:t>月</w:t>
      </w:r>
      <w:r>
        <w:rPr>
          <w:rFonts w:hint="default" w:ascii="Times New Roman" w:hAnsi="Times New Roman" w:eastAsia="FangSong" w:cs="Times New Roman"/>
          <w:i w:val="0"/>
          <w:caps w:val="0"/>
          <w:color w:val="333333"/>
          <w:spacing w:val="0"/>
          <w:kern w:val="0"/>
          <w:sz w:val="32"/>
          <w:szCs w:val="32"/>
          <w:shd w:val="clear" w:fill="FFFFFF"/>
          <w:lang w:val="en-US" w:eastAsia="zh-CN" w:bidi="ar"/>
        </w:rPr>
        <w:t>12</w:t>
      </w:r>
      <w:r>
        <w:rPr>
          <w:rFonts w:hint="eastAsia" w:ascii="仿宋_GB2312" w:hAnsi="FangSong" w:eastAsia="仿宋_GB2312" w:cs="仿宋_GB2312"/>
          <w:i w:val="0"/>
          <w:caps w:val="0"/>
          <w:color w:val="333333"/>
          <w:spacing w:val="0"/>
          <w:kern w:val="0"/>
          <w:sz w:val="32"/>
          <w:szCs w:val="32"/>
          <w:shd w:val="clear" w:fill="FFFFFF"/>
          <w:lang w:val="en-US" w:eastAsia="zh-CN" w:bidi="ar"/>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left"/>
        <w:textAlignment w:val="auto"/>
        <w:rPr>
          <w:color w:val="333333"/>
          <w:sz w:val="32"/>
          <w:szCs w:val="32"/>
        </w:rPr>
      </w:pPr>
      <w:r>
        <w:rPr>
          <w:rFonts w:hint="eastAsia" w:ascii="仿宋_GB2312" w:hAnsi="FangSong" w:eastAsia="仿宋_GB2312" w:cs="仿宋_GB2312"/>
          <w:i w:val="0"/>
          <w:caps w:val="0"/>
          <w:color w:val="333333"/>
          <w:spacing w:val="0"/>
          <w:kern w:val="0"/>
          <w:sz w:val="32"/>
          <w:szCs w:val="32"/>
          <w:shd w:val="clear" w:fill="FFFFFF"/>
          <w:lang w:val="en-US" w:eastAsia="zh-CN" w:bidi="ar"/>
        </w:rPr>
        <w:t>（此件公开发布）</w:t>
      </w:r>
    </w:p>
    <w:p>
      <w:pPr>
        <w:keepNext w:val="0"/>
        <w:keepLines w:val="0"/>
        <w:pageBreakBefore w:val="0"/>
        <w:kinsoku/>
        <w:wordWrap/>
        <w:overflowPunct/>
        <w:topLinePunct w:val="0"/>
        <w:autoSpaceDE/>
        <w:autoSpaceDN/>
        <w:bidi w:val="0"/>
        <w:adjustRightInd/>
        <w:snapToGrid/>
        <w:spacing w:line="240" w:lineRule="auto"/>
        <w:textAlignment w:val="auto"/>
        <w:rPr>
          <w:rFonts w:hint="eastAsia"/>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FangSong">
    <w:altName w:val="方正仿宋_GBK"/>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阜新市民政局发布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阜新市民政局规范性文件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5282CB1"/>
    <w:rsid w:val="080F63D8"/>
    <w:rsid w:val="09341458"/>
    <w:rsid w:val="09EC50C5"/>
    <w:rsid w:val="0B0912D7"/>
    <w:rsid w:val="152D2DCA"/>
    <w:rsid w:val="18154E0E"/>
    <w:rsid w:val="1A3DD4D8"/>
    <w:rsid w:val="1A711709"/>
    <w:rsid w:val="1DEC284C"/>
    <w:rsid w:val="1E6523AC"/>
    <w:rsid w:val="1FA448A9"/>
    <w:rsid w:val="22440422"/>
    <w:rsid w:val="2D25C1B4"/>
    <w:rsid w:val="2D7F902B"/>
    <w:rsid w:val="31A15F24"/>
    <w:rsid w:val="34DF1AB0"/>
    <w:rsid w:val="395347B5"/>
    <w:rsid w:val="39A232A0"/>
    <w:rsid w:val="39E745AA"/>
    <w:rsid w:val="3B5A6BBB"/>
    <w:rsid w:val="3D726E84"/>
    <w:rsid w:val="3EDA13A6"/>
    <w:rsid w:val="3F3DE527"/>
    <w:rsid w:val="42F058B7"/>
    <w:rsid w:val="42F60207"/>
    <w:rsid w:val="436109F6"/>
    <w:rsid w:val="441A38D4"/>
    <w:rsid w:val="4BC77339"/>
    <w:rsid w:val="4C9236C5"/>
    <w:rsid w:val="4E5F8D9C"/>
    <w:rsid w:val="4EBDD549"/>
    <w:rsid w:val="505C172E"/>
    <w:rsid w:val="52F46F0B"/>
    <w:rsid w:val="53D8014D"/>
    <w:rsid w:val="54EF3C99"/>
    <w:rsid w:val="55E064E0"/>
    <w:rsid w:val="572C6D10"/>
    <w:rsid w:val="5DC34279"/>
    <w:rsid w:val="608816D1"/>
    <w:rsid w:val="60EF4E7F"/>
    <w:rsid w:val="63E87DD7"/>
    <w:rsid w:val="64815887"/>
    <w:rsid w:val="665233C1"/>
    <w:rsid w:val="66F7D7F7"/>
    <w:rsid w:val="688E1F16"/>
    <w:rsid w:val="6AD9688B"/>
    <w:rsid w:val="6D0E3F22"/>
    <w:rsid w:val="6FC2558A"/>
    <w:rsid w:val="76C15427"/>
    <w:rsid w:val="77FF3E2B"/>
    <w:rsid w:val="7B7780D0"/>
    <w:rsid w:val="7C9011D9"/>
    <w:rsid w:val="7DC651C5"/>
    <w:rsid w:val="7ED716EB"/>
    <w:rsid w:val="7F7F62E1"/>
    <w:rsid w:val="7FAC2B26"/>
    <w:rsid w:val="7FCC2834"/>
    <w:rsid w:val="7FF81C1E"/>
    <w:rsid w:val="A7BAC73E"/>
    <w:rsid w:val="BB8FDD9D"/>
    <w:rsid w:val="BDFF017B"/>
    <w:rsid w:val="BFFD7CF9"/>
    <w:rsid w:val="CBED12E2"/>
    <w:rsid w:val="EAE5872B"/>
    <w:rsid w:val="EE5CA689"/>
    <w:rsid w:val="F2BFBA21"/>
    <w:rsid w:val="F3F4EB16"/>
    <w:rsid w:val="F7E59300"/>
    <w:rsid w:val="FEF7077B"/>
    <w:rsid w:val="FFDF1770"/>
    <w:rsid w:val="FFDF3B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6683</Words>
  <Characters>6764</Characters>
  <Lines>1</Lines>
  <Paragraphs>1</Paragraphs>
  <TotalTime>3</TotalTime>
  <ScaleCrop>false</ScaleCrop>
  <LinksUpToDate>false</LinksUpToDate>
  <CharactersWithSpaces>6896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user</cp:lastModifiedBy>
  <cp:lastPrinted>2021-10-27T03:30:00Z</cp:lastPrinted>
  <dcterms:modified xsi:type="dcterms:W3CDTF">2023-02-09T10:19:41Z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